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94CBD" w14:textId="77777777" w:rsidR="007C55C7" w:rsidRPr="007C55C7" w:rsidRDefault="007C55C7" w:rsidP="005F5F75">
      <w:pPr>
        <w:jc w:val="both"/>
        <w:rPr>
          <w:lang w:val="ru-RU"/>
        </w:rPr>
      </w:pPr>
      <w:r w:rsidRPr="007C55C7">
        <w:rPr>
          <w:lang w:val="ru-RU"/>
        </w:rPr>
        <w:t xml:space="preserve">Термін легального перебування громадян України (та зазначених членів їхніх родин), які прибули до Польщі в період з 24 лютого 2022 року у зв’язку з воєнними діями на території України, буде </w:t>
      </w:r>
      <w:r w:rsidRPr="00DB5690">
        <w:rPr>
          <w:b/>
          <w:lang w:val="ru-RU"/>
        </w:rPr>
        <w:t>продовжено до 4 березня 2024 року, а в окремих випадках – до 31 серпня або 30 вересня 2024 року</w:t>
      </w:r>
      <w:r w:rsidRPr="007C55C7">
        <w:rPr>
          <w:lang w:val="ru-RU"/>
        </w:rPr>
        <w:t>. Акт про внесення змін до чинних нормативно-правових актів опублікований у Віснику Законів та набирає чинності 27 червня 2024 року.</w:t>
      </w:r>
      <w:bookmarkStart w:id="0" w:name="_GoBack"/>
      <w:bookmarkEnd w:id="0"/>
    </w:p>
    <w:p w14:paraId="2CB1D46A" w14:textId="77777777" w:rsidR="007C55C7" w:rsidRPr="007C55C7" w:rsidRDefault="007C55C7" w:rsidP="005F5F75">
      <w:pPr>
        <w:jc w:val="both"/>
        <w:rPr>
          <w:lang w:val="ru-RU"/>
        </w:rPr>
      </w:pPr>
      <w:r w:rsidRPr="007C55C7">
        <w:rPr>
          <w:lang w:val="ru-RU"/>
        </w:rPr>
        <w:t>Після набуття чинності нових положень буде змінено ст. 2 п. 1 і 2 Закону про допомогу громадянам України у зв'язку зі збройним конфліктом на території цієї держави. Термін перебування громадян України (і зазначених членів їхніх родин), який вважається легальним, буде продовжено</w:t>
      </w:r>
      <w:r w:rsidRPr="007C55C7">
        <w:t> </w:t>
      </w:r>
      <w:r w:rsidRPr="007C55C7">
        <w:rPr>
          <w:b/>
          <w:bCs/>
          <w:lang w:val="ru-RU"/>
        </w:rPr>
        <w:t>до 4 березня 2024 року</w:t>
      </w:r>
      <w:r w:rsidRPr="007C55C7">
        <w:rPr>
          <w:lang w:val="ru-RU"/>
        </w:rPr>
        <w:t>. Ця дата збігається із закінченням подовженого періоду, протягом якого країни-члени Європейського Союзу надають громадянам України тимчасовий захист.</w:t>
      </w:r>
    </w:p>
    <w:p w14:paraId="3D2EB39C" w14:textId="77777777" w:rsidR="007C55C7" w:rsidRPr="007C55C7" w:rsidRDefault="007C55C7" w:rsidP="005F5F75">
      <w:pPr>
        <w:jc w:val="both"/>
        <w:rPr>
          <w:lang w:val="ru-RU"/>
        </w:rPr>
      </w:pPr>
      <w:r w:rsidRPr="007C55C7">
        <w:rPr>
          <w:lang w:val="ru-RU"/>
        </w:rPr>
        <w:t>Крім того, до ст. 2 вищезазначеного Закону буде додано нові пункти 10 та 11, які ще більше подовжать термін легального перебування:</w:t>
      </w:r>
    </w:p>
    <w:p w14:paraId="43AD3DFD" w14:textId="77777777" w:rsidR="007C55C7" w:rsidRPr="007C55C7" w:rsidRDefault="007C55C7" w:rsidP="005F5F75">
      <w:pPr>
        <w:numPr>
          <w:ilvl w:val="0"/>
          <w:numId w:val="1"/>
        </w:numPr>
        <w:jc w:val="both"/>
        <w:rPr>
          <w:lang w:val="ru-RU"/>
        </w:rPr>
      </w:pPr>
      <w:r w:rsidRPr="007C55C7">
        <w:rPr>
          <w:b/>
          <w:bCs/>
          <w:lang w:val="ru-RU"/>
        </w:rPr>
        <w:t>до 31 серпня 2024 року</w:t>
      </w:r>
      <w:r w:rsidRPr="007C55C7">
        <w:t> </w:t>
      </w:r>
      <w:r w:rsidRPr="007C55C7">
        <w:rPr>
          <w:lang w:val="ru-RU"/>
        </w:rPr>
        <w:t>у випадку:</w:t>
      </w:r>
    </w:p>
    <w:p w14:paraId="682FF656" w14:textId="77777777" w:rsidR="007C55C7" w:rsidRPr="007C55C7" w:rsidRDefault="007C55C7" w:rsidP="005F5F75">
      <w:pPr>
        <w:numPr>
          <w:ilvl w:val="0"/>
          <w:numId w:val="2"/>
        </w:numPr>
        <w:jc w:val="both"/>
        <w:rPr>
          <w:lang w:val="ru-RU"/>
        </w:rPr>
      </w:pPr>
      <w:r w:rsidRPr="007C55C7">
        <w:rPr>
          <w:lang w:val="ru-RU"/>
        </w:rPr>
        <w:t>осіб, які на 04 березня 2024 року користуватимуться дошкільною освітою, виконуватимуть шкільний обов’язок або обов’язок навчатися, а якщо ці особи є неповнолітніми, це стосується також їхніх батьків або опікунів;</w:t>
      </w:r>
    </w:p>
    <w:p w14:paraId="130A42DF" w14:textId="77777777" w:rsidR="007C55C7" w:rsidRPr="007C55C7" w:rsidRDefault="007C55C7" w:rsidP="005F5F75">
      <w:pPr>
        <w:numPr>
          <w:ilvl w:val="0"/>
          <w:numId w:val="2"/>
        </w:numPr>
        <w:jc w:val="both"/>
        <w:rPr>
          <w:lang w:val="ru-RU"/>
        </w:rPr>
      </w:pPr>
      <w:r w:rsidRPr="007C55C7">
        <w:rPr>
          <w:lang w:val="ru-RU"/>
        </w:rPr>
        <w:t>осіб, які на 4 березня 2024 року навчатимуться у дитячому садку чи школі, що функціонує в українській системі освіти, з використанням методів і технік дистанційного навчання, а якщо ці особи є неповнолітніми, це стосується також їхніх батьків або опікунів;</w:t>
      </w:r>
    </w:p>
    <w:p w14:paraId="0BB421A2" w14:textId="77777777" w:rsidR="007C55C7" w:rsidRPr="007C55C7" w:rsidRDefault="007C55C7" w:rsidP="005F5F75">
      <w:pPr>
        <w:numPr>
          <w:ilvl w:val="0"/>
          <w:numId w:val="2"/>
        </w:numPr>
        <w:jc w:val="both"/>
        <w:rPr>
          <w:lang w:val="ru-RU"/>
        </w:rPr>
      </w:pPr>
      <w:r w:rsidRPr="007C55C7">
        <w:rPr>
          <w:lang w:val="ru-RU"/>
        </w:rPr>
        <w:t>осіб, які не пізніше 2022/2023 навчального року розпочали навчання у професійно-технічному училищі ІІ ступеня, у поліцеальній школі чи школі для дорослих, а якщо ці особи є неповнолітніми, це стосується також їхніх батьків та опікунів.</w:t>
      </w:r>
    </w:p>
    <w:p w14:paraId="187AF54F" w14:textId="77777777" w:rsidR="007C55C7" w:rsidRPr="007C55C7" w:rsidRDefault="007C55C7" w:rsidP="005F5F75">
      <w:pPr>
        <w:numPr>
          <w:ilvl w:val="0"/>
          <w:numId w:val="3"/>
        </w:numPr>
        <w:jc w:val="both"/>
        <w:rPr>
          <w:lang w:val="ru-RU"/>
        </w:rPr>
      </w:pPr>
      <w:r w:rsidRPr="007C55C7">
        <w:rPr>
          <w:b/>
          <w:bCs/>
          <w:lang w:val="ru-RU"/>
        </w:rPr>
        <w:t>до 30 вересня 2024 року</w:t>
      </w:r>
      <w:r w:rsidRPr="007C55C7">
        <w:t> </w:t>
      </w:r>
      <w:r w:rsidRPr="007C55C7">
        <w:rPr>
          <w:lang w:val="ru-RU"/>
        </w:rPr>
        <w:t>у випадку:</w:t>
      </w:r>
    </w:p>
    <w:p w14:paraId="402186AE" w14:textId="77777777" w:rsidR="007C55C7" w:rsidRPr="007C55C7" w:rsidRDefault="007C55C7" w:rsidP="005F5F75">
      <w:pPr>
        <w:numPr>
          <w:ilvl w:val="0"/>
          <w:numId w:val="4"/>
        </w:numPr>
        <w:jc w:val="both"/>
        <w:rPr>
          <w:lang w:val="ru-RU"/>
        </w:rPr>
      </w:pPr>
      <w:r w:rsidRPr="007C55C7">
        <w:rPr>
          <w:lang w:val="ru-RU"/>
        </w:rPr>
        <w:t>осіб, які складатимуть іспит на атестат зрілості у додаткову дату, а якщо ці особи є неповнолітніми, це стосується також їхніх батьків та опікунів.</w:t>
      </w:r>
    </w:p>
    <w:p w14:paraId="613896C7" w14:textId="77777777" w:rsidR="007C55C7" w:rsidRPr="007C55C7" w:rsidRDefault="007C55C7" w:rsidP="005F5F75">
      <w:pPr>
        <w:jc w:val="both"/>
        <w:rPr>
          <w:lang w:val="ru-RU"/>
        </w:rPr>
      </w:pPr>
      <w:r w:rsidRPr="007C55C7">
        <w:rPr>
          <w:lang w:val="ru-RU"/>
        </w:rPr>
        <w:t>Також будуть внесені зміни в положення щодо запобігання нелегальному перебуванню громадян України та підтримки легалізації їх перебування на території Польщі. Подібне подовження до 4 березня 2024 року застосовуватиметься до періодів, у яких:</w:t>
      </w:r>
    </w:p>
    <w:p w14:paraId="52FD3AC4" w14:textId="77777777" w:rsidR="007C55C7" w:rsidRPr="007C55C7" w:rsidRDefault="007C55C7" w:rsidP="005F5F75">
      <w:pPr>
        <w:numPr>
          <w:ilvl w:val="0"/>
          <w:numId w:val="5"/>
        </w:numPr>
        <w:jc w:val="both"/>
        <w:rPr>
          <w:lang w:val="ru-RU"/>
        </w:rPr>
      </w:pPr>
      <w:r w:rsidRPr="007C55C7">
        <w:rPr>
          <w:lang w:val="ru-RU"/>
        </w:rPr>
        <w:t>законодавчо подовжено строки перебування та строки дії національних віз громадян України;</w:t>
      </w:r>
    </w:p>
    <w:p w14:paraId="57C44F50" w14:textId="77777777" w:rsidR="007C55C7" w:rsidRPr="007C55C7" w:rsidRDefault="007C55C7" w:rsidP="005F5F75">
      <w:pPr>
        <w:numPr>
          <w:ilvl w:val="0"/>
          <w:numId w:val="5"/>
        </w:numPr>
        <w:jc w:val="both"/>
        <w:rPr>
          <w:lang w:val="ru-RU"/>
        </w:rPr>
      </w:pPr>
      <w:r w:rsidRPr="007C55C7">
        <w:rPr>
          <w:lang w:val="ru-RU"/>
        </w:rPr>
        <w:t>законодавчо подовжено строки дії дозволів на тимчасове проживання громадян України;</w:t>
      </w:r>
    </w:p>
    <w:p w14:paraId="21238F4C" w14:textId="77777777" w:rsidR="007C55C7" w:rsidRPr="007C55C7" w:rsidRDefault="007C55C7" w:rsidP="005F5F75">
      <w:pPr>
        <w:numPr>
          <w:ilvl w:val="0"/>
          <w:numId w:val="5"/>
        </w:numPr>
        <w:jc w:val="both"/>
        <w:rPr>
          <w:lang w:val="ru-RU"/>
        </w:rPr>
      </w:pPr>
      <w:r w:rsidRPr="007C55C7">
        <w:rPr>
          <w:lang w:val="ru-RU"/>
        </w:rPr>
        <w:t>законодавчо подовжено строки виїзду громадян України з території Польщі (відповідно до ст. 299 п. 6 Закону про іноземців від 12 грудня 2013 року);</w:t>
      </w:r>
    </w:p>
    <w:p w14:paraId="6C3D2B47" w14:textId="77777777" w:rsidR="007C55C7" w:rsidRPr="007C55C7" w:rsidRDefault="007C55C7" w:rsidP="005F5F75">
      <w:pPr>
        <w:numPr>
          <w:ilvl w:val="0"/>
          <w:numId w:val="5"/>
        </w:numPr>
        <w:jc w:val="both"/>
        <w:rPr>
          <w:lang w:val="ru-RU"/>
        </w:rPr>
      </w:pPr>
      <w:r w:rsidRPr="007C55C7">
        <w:rPr>
          <w:lang w:val="ru-RU"/>
        </w:rPr>
        <w:t>законодавчо подовжено строки добровільного повернення (наразі – терміни добровільного виїзду), визначені у виданих громадянам України рішеннях про зобов’язання іноземців до повернення (відповідно до ст. 315 п. 1 Закону про іноземців);</w:t>
      </w:r>
    </w:p>
    <w:p w14:paraId="01B22660" w14:textId="77777777" w:rsidR="007C55C7" w:rsidRPr="007C55C7" w:rsidRDefault="007C55C7" w:rsidP="005F5F75">
      <w:pPr>
        <w:numPr>
          <w:ilvl w:val="0"/>
          <w:numId w:val="5"/>
        </w:numPr>
        <w:jc w:val="both"/>
        <w:rPr>
          <w:lang w:val="ru-RU"/>
        </w:rPr>
      </w:pPr>
      <w:r w:rsidRPr="007C55C7">
        <w:rPr>
          <w:lang w:val="ru-RU"/>
        </w:rPr>
        <w:t>законодавчо подовжено терміни дії карт побуту, польських документів, що посвідчують особу іноземця, та документів «дозвіл на толераване перебування», виданих громадянам України;</w:t>
      </w:r>
    </w:p>
    <w:p w14:paraId="2A76F3CA" w14:textId="77777777" w:rsidR="007C55C7" w:rsidRPr="007C55C7" w:rsidRDefault="007C55C7" w:rsidP="005F5F75">
      <w:pPr>
        <w:numPr>
          <w:ilvl w:val="0"/>
          <w:numId w:val="5"/>
        </w:numPr>
        <w:jc w:val="both"/>
        <w:rPr>
          <w:lang w:val="ru-RU"/>
        </w:rPr>
      </w:pPr>
      <w:r w:rsidRPr="007C55C7">
        <w:rPr>
          <w:lang w:val="ru-RU"/>
        </w:rPr>
        <w:lastRenderedPageBreak/>
        <w:t>перебування громадян України на території Польщі вважається легальним у зв’язку із закінченням терміну дозволеного короткострокового перебування (на підставі шенгенської візи, виданої польським органом, на підставі візи, виданої іншою країною Шенгенської зони, на підставі дозволу на проживання, виданого компетентним органом іншої країни Шенгенської зони або в рамках безвізового режиму);</w:t>
      </w:r>
    </w:p>
    <w:p w14:paraId="307347BB" w14:textId="77777777" w:rsidR="007C55C7" w:rsidRPr="007C55C7" w:rsidRDefault="007C55C7" w:rsidP="005F5F75">
      <w:pPr>
        <w:numPr>
          <w:ilvl w:val="0"/>
          <w:numId w:val="5"/>
        </w:numPr>
        <w:jc w:val="both"/>
        <w:rPr>
          <w:lang w:val="ru-RU"/>
        </w:rPr>
      </w:pPr>
      <w:r w:rsidRPr="007C55C7">
        <w:rPr>
          <w:lang w:val="ru-RU"/>
        </w:rPr>
        <w:t xml:space="preserve">не поширюється на громадян України у справах про надання дозволу на тимчасове проживання з метою провадження підприємницької діяльності, визначеної ст. 142 п. 1 пп. 3 Закону про іноземців вимога щодо розміру та якості провадженої підприємницької діяльності, якщо вони здійснюють підприємницьку діяльність на підставі запису в </w:t>
      </w:r>
      <w:r w:rsidRPr="007C55C7">
        <w:t>CEIDG</w:t>
      </w:r>
      <w:r w:rsidRPr="007C55C7">
        <w:rPr>
          <w:lang w:val="ru-RU"/>
        </w:rPr>
        <w:t xml:space="preserve"> (Центральному реєстрі та інформації про підприємницьку діяльність);</w:t>
      </w:r>
    </w:p>
    <w:p w14:paraId="51939604" w14:textId="77777777" w:rsidR="007C55C7" w:rsidRPr="007C55C7" w:rsidRDefault="007C55C7" w:rsidP="005F5F75">
      <w:pPr>
        <w:numPr>
          <w:ilvl w:val="0"/>
          <w:numId w:val="5"/>
        </w:numPr>
        <w:jc w:val="both"/>
        <w:rPr>
          <w:lang w:val="ru-RU"/>
        </w:rPr>
      </w:pPr>
      <w:r w:rsidRPr="007C55C7">
        <w:rPr>
          <w:lang w:val="ru-RU"/>
        </w:rPr>
        <w:t>має застосування положення ст. 42а п. 1 Спеціального закону, що встановлює субсидіарну матеріально-правову основу для надання дозволу на тимчасове проживання громадянам України;</w:t>
      </w:r>
    </w:p>
    <w:p w14:paraId="25EF036D" w14:textId="77777777" w:rsidR="007C55C7" w:rsidRPr="007C55C7" w:rsidRDefault="007C55C7" w:rsidP="005F5F75">
      <w:pPr>
        <w:numPr>
          <w:ilvl w:val="0"/>
          <w:numId w:val="5"/>
        </w:numPr>
        <w:jc w:val="both"/>
        <w:rPr>
          <w:lang w:val="ru-RU"/>
        </w:rPr>
      </w:pPr>
      <w:r w:rsidRPr="007C55C7">
        <w:rPr>
          <w:lang w:val="ru-RU"/>
        </w:rPr>
        <w:t>можна не порушувати або припинити розпочате провадження у справі зобов'язання до повернення громадянина України.</w:t>
      </w:r>
    </w:p>
    <w:p w14:paraId="5D633C9F" w14:textId="77777777" w:rsidR="007C55C7" w:rsidRPr="007C55C7" w:rsidRDefault="007C55C7" w:rsidP="005F5F75">
      <w:pPr>
        <w:jc w:val="both"/>
        <w:rPr>
          <w:lang w:val="ru-RU"/>
        </w:rPr>
      </w:pPr>
      <w:r w:rsidRPr="007C55C7">
        <w:rPr>
          <w:lang w:val="ru-RU"/>
        </w:rPr>
        <w:t>Описані зміни внесено ст. 12 Закону від 14 квітня 2023 року про зміну назви навчальних закладів державних служб, які підпорядковуються міністерству внутрішніх справ, Про внесення змін до Закону про поліцію, Закону про прикордонну службу, Закону про утримання в пожежну охорону та деякі інші акти.</w:t>
      </w:r>
    </w:p>
    <w:p w14:paraId="4319794D" w14:textId="77777777" w:rsidR="007C55C7" w:rsidRPr="007C55C7" w:rsidRDefault="007C55C7" w:rsidP="005F5F75">
      <w:pPr>
        <w:jc w:val="both"/>
        <w:rPr>
          <w:lang w:val="ru-RU"/>
        </w:rPr>
      </w:pPr>
    </w:p>
    <w:sectPr w:rsidR="007C55C7" w:rsidRPr="007C5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24E1F"/>
    <w:multiLevelType w:val="multilevel"/>
    <w:tmpl w:val="953E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41CD8"/>
    <w:multiLevelType w:val="multilevel"/>
    <w:tmpl w:val="A6B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27E10"/>
    <w:multiLevelType w:val="multilevel"/>
    <w:tmpl w:val="044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70480"/>
    <w:multiLevelType w:val="multilevel"/>
    <w:tmpl w:val="B6B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C243C"/>
    <w:multiLevelType w:val="multilevel"/>
    <w:tmpl w:val="92EE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7"/>
    <w:rsid w:val="005F5F75"/>
    <w:rsid w:val="007C55C7"/>
    <w:rsid w:val="00DB5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CBF6"/>
  <w15:chartTrackingRefBased/>
  <w15:docId w15:val="{D332E52B-BD21-426C-9B71-5421A002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29842">
      <w:bodyDiv w:val="1"/>
      <w:marLeft w:val="0"/>
      <w:marRight w:val="0"/>
      <w:marTop w:val="0"/>
      <w:marBottom w:val="0"/>
      <w:divBdr>
        <w:top w:val="none" w:sz="0" w:space="0" w:color="auto"/>
        <w:left w:val="none" w:sz="0" w:space="0" w:color="auto"/>
        <w:bottom w:val="none" w:sz="0" w:space="0" w:color="auto"/>
        <w:right w:val="none" w:sz="0" w:space="0" w:color="auto"/>
      </w:divBdr>
      <w:divsChild>
        <w:div w:id="888227656">
          <w:marLeft w:val="0"/>
          <w:marRight w:val="0"/>
          <w:marTop w:val="0"/>
          <w:marBottom w:val="0"/>
          <w:divBdr>
            <w:top w:val="none" w:sz="0" w:space="0" w:color="auto"/>
            <w:left w:val="none" w:sz="0" w:space="0" w:color="auto"/>
            <w:bottom w:val="none" w:sz="0" w:space="0" w:color="auto"/>
            <w:right w:val="none" w:sz="0" w:space="0" w:color="auto"/>
          </w:divBdr>
        </w:div>
        <w:div w:id="610207945">
          <w:marLeft w:val="0"/>
          <w:marRight w:val="0"/>
          <w:marTop w:val="0"/>
          <w:marBottom w:val="0"/>
          <w:divBdr>
            <w:top w:val="none" w:sz="0" w:space="0" w:color="auto"/>
            <w:left w:val="none" w:sz="0" w:space="0" w:color="auto"/>
            <w:bottom w:val="none" w:sz="0" w:space="0" w:color="auto"/>
            <w:right w:val="none" w:sz="0" w:space="0" w:color="auto"/>
          </w:divBdr>
          <w:divsChild>
            <w:div w:id="636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22bde4-0f95-4e92-8702-d19c17aaa6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711D77FDBF84FBB1B3F7AFA0EBB07" ma:contentTypeVersion="12" ma:contentTypeDescription="Utwórz nowy dokument." ma:contentTypeScope="" ma:versionID="c0d1e66512a25f2d7249b3183b6e1d88">
  <xsd:schema xmlns:xsd="http://www.w3.org/2001/XMLSchema" xmlns:xs="http://www.w3.org/2001/XMLSchema" xmlns:p="http://schemas.microsoft.com/office/2006/metadata/properties" xmlns:ns3="e522bde4-0f95-4e92-8702-d19c17aaa60f" xmlns:ns4="87f2ae9f-55f9-4451-b672-4c89df839b56" targetNamespace="http://schemas.microsoft.com/office/2006/metadata/properties" ma:root="true" ma:fieldsID="9f8258c342024d6e787435672e9920b8" ns3:_="" ns4:_="">
    <xsd:import namespace="e522bde4-0f95-4e92-8702-d19c17aaa60f"/>
    <xsd:import namespace="87f2ae9f-55f9-4451-b672-4c89df839b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bde4-0f95-4e92-8702-d19c17aaa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2ae9f-55f9-4451-b672-4c89df839b56"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36519-F845-44CC-A3A6-E3A8471EA2A5}">
  <ds:schemaRefs>
    <ds:schemaRef ds:uri="http://schemas.microsoft.com/office/2006/metadata/properties"/>
    <ds:schemaRef ds:uri="http://schemas.microsoft.com/office/infopath/2007/PartnerControls"/>
    <ds:schemaRef ds:uri="e522bde4-0f95-4e92-8702-d19c17aaa60f"/>
  </ds:schemaRefs>
</ds:datastoreItem>
</file>

<file path=customXml/itemProps2.xml><?xml version="1.0" encoding="utf-8"?>
<ds:datastoreItem xmlns:ds="http://schemas.openxmlformats.org/officeDocument/2006/customXml" ds:itemID="{BF49543F-C572-4DEB-ABB1-20ABE1A550EE}">
  <ds:schemaRefs>
    <ds:schemaRef ds:uri="http://schemas.microsoft.com/sharepoint/v3/contenttype/forms"/>
  </ds:schemaRefs>
</ds:datastoreItem>
</file>

<file path=customXml/itemProps3.xml><?xml version="1.0" encoding="utf-8"?>
<ds:datastoreItem xmlns:ds="http://schemas.openxmlformats.org/officeDocument/2006/customXml" ds:itemID="{F3BE7BB4-2EB9-411C-B717-C64F2846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bde4-0f95-4e92-8702-d19c17aaa60f"/>
    <ds:schemaRef ds:uri="87f2ae9f-55f9-4451-b672-4c89df83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Grodecka Walentyna</dc:creator>
  <cp:keywords/>
  <dc:description/>
  <cp:lastModifiedBy>Grodecka Walentyna</cp:lastModifiedBy>
  <cp:revision>4</cp:revision>
  <dcterms:created xsi:type="dcterms:W3CDTF">2023-06-27T10:37:00Z</dcterms:created>
  <dcterms:modified xsi:type="dcterms:W3CDTF">2023-06-27T10:44:00Z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0x0101003AC711D77FDBF84FBB1B3F7AFA0EBB07</vt:lpwstr>
  </property>
</Properties>
</file>